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D86879" w14:textId="77777777" w:rsidR="00E97A47" w:rsidRDefault="00000000">
      <w:pPr>
        <w:spacing w:before="480" w:after="80"/>
        <w:jc w:val="center"/>
      </w:pPr>
      <w:r>
        <w:rPr>
          <w:b/>
          <w:color w:val="4A148C"/>
          <w:sz w:val="48"/>
        </w:rPr>
        <w:t>Welcome to A-Level Physics at NSG</w:t>
      </w:r>
    </w:p>
    <w:p w14:paraId="3C2CCE70" w14:textId="36969E75" w:rsidR="00E97A47" w:rsidRDefault="00000000">
      <w:pPr>
        <w:spacing w:after="480"/>
        <w:jc w:val="center"/>
      </w:pPr>
      <w:r>
        <w:rPr>
          <w:i/>
          <w:color w:val="7B1FA2"/>
          <w:sz w:val="26"/>
        </w:rPr>
        <w:t>Year 1</w:t>
      </w:r>
      <w:r w:rsidR="00C438B8">
        <w:rPr>
          <w:i/>
          <w:color w:val="7B1FA2"/>
          <w:sz w:val="26"/>
        </w:rPr>
        <w:t>2</w:t>
      </w:r>
      <w:r>
        <w:rPr>
          <w:i/>
          <w:color w:val="7B1FA2"/>
          <w:sz w:val="26"/>
        </w:rPr>
        <w:t xml:space="preserve"> Taster &amp; Course Induction Guide</w:t>
      </w:r>
    </w:p>
    <w:p w14:paraId="1DF8686B" w14:textId="77777777" w:rsidR="00E97A47" w:rsidRDefault="00000000">
      <w:r>
        <w:t>Congratulations on choosing A-Level Physics! This course is designed to nurture your lifelong curiosity and passion for understanding how the universe operates. From the smallest subatomic particles to the grandest cosmic structures, you will develop a deep appreciation for the scientific method while building elite problem-solving, analytical, and mathematical skills.</w:t>
      </w:r>
    </w:p>
    <w:p w14:paraId="5DCAA085" w14:textId="35CB1AA2" w:rsidR="00E97A47" w:rsidRDefault="00000000">
      <w:pPr>
        <w:spacing w:after="400"/>
      </w:pPr>
      <w:r>
        <w:t xml:space="preserve">The jump from GCSE to A-Level Physics is challenging but immensely rewarding. At this level, you move past simply memorising formulas to investigating the underlying mechanical, quantum, and cosmic laws of nature. This document outlines the layout of your upcoming two years, </w:t>
      </w:r>
      <w:r w:rsidR="00C438B8">
        <w:t>the exam</w:t>
      </w:r>
      <w:r>
        <w:t xml:space="preserve"> breakdown, the hands-on practical framework, and career pathways available to you.</w:t>
      </w:r>
    </w:p>
    <w:p w14:paraId="417CEB61" w14:textId="77777777" w:rsidR="00E97A47" w:rsidRDefault="00000000">
      <w:pPr>
        <w:pStyle w:val="Heading1"/>
        <w:spacing w:before="360" w:after="160"/>
      </w:pPr>
      <w:r>
        <w:rPr>
          <w:rFonts w:ascii="Arial" w:hAnsi="Arial"/>
          <w:color w:val="4A148C"/>
          <w:sz w:val="32"/>
        </w:rPr>
        <w:t>Why Choose Physics? Futures &amp; Careers</w:t>
      </w:r>
    </w:p>
    <w:p w14:paraId="705EB2A4" w14:textId="77777777" w:rsidR="00E97A47" w:rsidRDefault="00000000">
      <w:pPr>
        <w:spacing w:after="160"/>
      </w:pPr>
      <w:r>
        <w:t>Physics is fundamentally an 'enabling subject.' This means it doesn't lock you into a single job track; rather, it provides a rigorous toolkit of analytical skills, numerical mastery, and logical problem-solving that is highly sought after across global industry sectors.</w:t>
      </w:r>
    </w:p>
    <w:p w14:paraId="7BF82593" w14:textId="77777777" w:rsidR="00E97A47" w:rsidRDefault="00000000">
      <w:r>
        <w:t>Students studying A-Level Physics frequently progress into careers and fields such as:</w:t>
      </w:r>
    </w:p>
    <w:p w14:paraId="79C67D19" w14:textId="77777777" w:rsidR="00E97A47" w:rsidRDefault="00000000">
      <w:pPr>
        <w:pStyle w:val="ListBullet"/>
        <w:spacing w:after="80"/>
      </w:pPr>
      <w:r>
        <w:rPr>
          <w:b/>
          <w:color w:val="7B1FA2"/>
        </w:rPr>
        <w:t>Engineering Sectors:</w:t>
      </w:r>
      <w:r>
        <w:t xml:space="preserve"> Aerospace, Civil, Mechanical, Renewable Energy, Electronic, and Nuclear Engineering.</w:t>
      </w:r>
    </w:p>
    <w:p w14:paraId="4EBA1C4C" w14:textId="77777777" w:rsidR="00E97A47" w:rsidRDefault="00000000">
      <w:pPr>
        <w:pStyle w:val="ListBullet"/>
        <w:spacing w:after="80"/>
      </w:pPr>
      <w:r>
        <w:rPr>
          <w:b/>
          <w:color w:val="7B1FA2"/>
        </w:rPr>
        <w:t>Advanced Technology:</w:t>
      </w:r>
      <w:r>
        <w:t xml:space="preserve"> Astrophysics, Robotics, Nanotechnology, Quantum Computing, and Artificial Intelligence.</w:t>
      </w:r>
    </w:p>
    <w:p w14:paraId="54DC5EF5" w14:textId="77777777" w:rsidR="00E97A47" w:rsidRDefault="00000000">
      <w:pPr>
        <w:pStyle w:val="ListBullet"/>
        <w:spacing w:after="80"/>
      </w:pPr>
      <w:r>
        <w:rPr>
          <w:b/>
          <w:color w:val="7B1FA2"/>
        </w:rPr>
        <w:t>Medical &amp; Life Sciences:</w:t>
      </w:r>
      <w:r>
        <w:t xml:space="preserve"> Medical Physics, Radiotherapy Design, Nuclear Medicine, and Biophysics research.</w:t>
      </w:r>
    </w:p>
    <w:p w14:paraId="2533C48F" w14:textId="77777777" w:rsidR="00E97A47" w:rsidRDefault="00000000">
      <w:pPr>
        <w:pStyle w:val="ListBullet"/>
        <w:spacing w:after="80"/>
      </w:pPr>
      <w:r>
        <w:rPr>
          <w:b/>
          <w:color w:val="7B1FA2"/>
        </w:rPr>
        <w:t>Analytical &amp; Data Sectors:</w:t>
      </w:r>
      <w:r>
        <w:t xml:space="preserve"> Data Science, Quantitative Finance, Risk Management, Software Architecture, and Climate Modelling.</w:t>
      </w:r>
    </w:p>
    <w:p w14:paraId="44975C62" w14:textId="77777777" w:rsidR="006C64C1" w:rsidRDefault="006C64C1">
      <w:pPr>
        <w:rPr>
          <w:rFonts w:eastAsiaTheme="majorEastAsia" w:cstheme="majorBidi"/>
          <w:b/>
          <w:bCs/>
          <w:color w:val="4A148C"/>
          <w:sz w:val="32"/>
          <w:szCs w:val="28"/>
        </w:rPr>
      </w:pPr>
      <w:r>
        <w:rPr>
          <w:color w:val="4A148C"/>
          <w:sz w:val="32"/>
        </w:rPr>
        <w:br w:type="page"/>
      </w:r>
    </w:p>
    <w:p w14:paraId="4E085679" w14:textId="34F20ADC" w:rsidR="00E97A47" w:rsidRDefault="00000000">
      <w:pPr>
        <w:pStyle w:val="Heading1"/>
        <w:spacing w:before="400" w:after="160"/>
      </w:pPr>
      <w:r>
        <w:rPr>
          <w:rFonts w:ascii="Arial" w:hAnsi="Arial"/>
          <w:color w:val="4A148C"/>
          <w:sz w:val="32"/>
        </w:rPr>
        <w:lastRenderedPageBreak/>
        <w:t>Course Structure: Year 12 &amp; Year 13 Overview</w:t>
      </w:r>
    </w:p>
    <w:p w14:paraId="30EA4676" w14:textId="38E955B8" w:rsidR="00E97A47" w:rsidRDefault="00000000">
      <w:pPr>
        <w:spacing w:after="240"/>
      </w:pPr>
      <w:r>
        <w:t>We teach A-Level Physics as a linear two-year course. All formal exam components take place at the</w:t>
      </w:r>
      <w:r w:rsidR="00FD3148">
        <w:t xml:space="preserve"> </w:t>
      </w:r>
      <w:r>
        <w:t>end of Year 13. To give you a roadmap, here are the topics you will master across both years:</w:t>
      </w:r>
    </w:p>
    <w:p w14:paraId="269DE2ED" w14:textId="77777777" w:rsidR="00E97A47" w:rsidRDefault="00000000">
      <w:pPr>
        <w:pStyle w:val="Heading2"/>
        <w:spacing w:before="240" w:after="120"/>
      </w:pPr>
      <w:r>
        <w:rPr>
          <w:rFonts w:ascii="Arial" w:hAnsi="Arial"/>
          <w:color w:val="7B1FA2"/>
        </w:rPr>
        <w:t>Year 12 Modules (Foundations of Physics)</w:t>
      </w:r>
    </w:p>
    <w:p w14:paraId="6B03E018" w14:textId="058A873B" w:rsidR="000B53E0" w:rsidRPr="000B53E0" w:rsidRDefault="00F2766F">
      <w:pPr>
        <w:pStyle w:val="ListBullet"/>
        <w:spacing w:after="80"/>
      </w:pPr>
      <w:r w:rsidRPr="00D25942">
        <w:rPr>
          <w:b/>
          <w:bCs/>
        </w:rPr>
        <w:t>Working as a Physicist</w:t>
      </w:r>
      <w:r>
        <w:t xml:space="preserve"> These are general skills required throughout course</w:t>
      </w:r>
      <w:r w:rsidR="00D25942">
        <w:t xml:space="preserve"> and cover aspects including: Quantities and units, analysing results, measurements and </w:t>
      </w:r>
      <w:r w:rsidR="00EF4C4C">
        <w:t>uncertainties, evaluating and concluding</w:t>
      </w:r>
    </w:p>
    <w:p w14:paraId="12177192" w14:textId="247E1DCB" w:rsidR="00E97A47" w:rsidRDefault="00000000">
      <w:pPr>
        <w:pStyle w:val="ListBullet"/>
        <w:spacing w:after="80"/>
      </w:pPr>
      <w:r>
        <w:rPr>
          <w:b/>
        </w:rPr>
        <w:t>Mechanics:</w:t>
      </w:r>
      <w:r>
        <w:t xml:space="preserve"> </w:t>
      </w:r>
      <w:r w:rsidR="00466C6F">
        <w:t>M</w:t>
      </w:r>
      <w:r>
        <w:t>otion, vectors, forces, Newton’s laws, work, energy, power, and efficiency.</w:t>
      </w:r>
    </w:p>
    <w:p w14:paraId="286CAEDB" w14:textId="77777777" w:rsidR="00E97A47" w:rsidRDefault="00000000">
      <w:pPr>
        <w:pStyle w:val="ListBullet"/>
        <w:spacing w:after="80"/>
      </w:pPr>
      <w:r>
        <w:rPr>
          <w:b/>
        </w:rPr>
        <w:t>Materials:</w:t>
      </w:r>
      <w:r>
        <w:t xml:space="preserve"> Fluid mechanics, density, upthrust, laminar/turbulent flow, viscosity, Hooke’s law, Young Modulus, and elastic strain energy.</w:t>
      </w:r>
    </w:p>
    <w:p w14:paraId="6C7CBF9A" w14:textId="77777777" w:rsidR="00E97A47" w:rsidRDefault="00000000">
      <w:pPr>
        <w:pStyle w:val="ListBullet"/>
        <w:spacing w:after="80"/>
      </w:pPr>
      <w:r>
        <w:rPr>
          <w:b/>
        </w:rPr>
        <w:t>Waves:</w:t>
      </w:r>
      <w:r>
        <w:t xml:space="preserve"> Wave properties, progressive/stationary waves, refraction, total internal reflection, diffraction, interference, and polarisation.</w:t>
      </w:r>
    </w:p>
    <w:p w14:paraId="08CF720E" w14:textId="77777777" w:rsidR="00E97A47" w:rsidRDefault="00000000">
      <w:pPr>
        <w:pStyle w:val="ListBullet"/>
        <w:spacing w:after="80"/>
      </w:pPr>
      <w:r>
        <w:rPr>
          <w:b/>
        </w:rPr>
        <w:t>The Particle Nature of Light:</w:t>
      </w:r>
      <w:r>
        <w:t xml:space="preserve"> The photoelectric effect, work function, photon energy levels, wave-particle duality, and electron diffraction.</w:t>
      </w:r>
    </w:p>
    <w:p w14:paraId="19574759" w14:textId="77777777" w:rsidR="00E97A47" w:rsidRDefault="00000000">
      <w:pPr>
        <w:pStyle w:val="ListBullet"/>
        <w:spacing w:after="80"/>
      </w:pPr>
      <w:r>
        <w:rPr>
          <w:b/>
        </w:rPr>
        <w:t>Electric Circuits:</w:t>
      </w:r>
      <w:r>
        <w:t xml:space="preserve"> Electric current, potential difference, resistance, Ohm's law, resistivity, power, electromotive force (e.m.f), internal resistance, and potential dividers.</w:t>
      </w:r>
    </w:p>
    <w:p w14:paraId="4458E704" w14:textId="77777777" w:rsidR="00E97A47" w:rsidRDefault="00000000">
      <w:pPr>
        <w:pStyle w:val="Heading2"/>
        <w:spacing w:before="280" w:after="120"/>
      </w:pPr>
      <w:r>
        <w:rPr>
          <w:rFonts w:ascii="Arial" w:hAnsi="Arial"/>
          <w:color w:val="7B1FA2"/>
        </w:rPr>
        <w:t>Year 13 Modules (Advanced Physical Frameworks)</w:t>
      </w:r>
    </w:p>
    <w:p w14:paraId="21A35B72" w14:textId="77777777" w:rsidR="00E97A47" w:rsidRDefault="00000000">
      <w:pPr>
        <w:pStyle w:val="ListBullet"/>
        <w:spacing w:after="80"/>
      </w:pPr>
      <w:r>
        <w:rPr>
          <w:b/>
        </w:rPr>
        <w:t>Further Mechanics:</w:t>
      </w:r>
      <w:r>
        <w:t xml:space="preserve"> Momentum conservation, inelastic and elastic collisions, impulse, circular motion, angular velocity, and centripetal acceleration.</w:t>
      </w:r>
    </w:p>
    <w:p w14:paraId="12F7F9D6" w14:textId="33929379" w:rsidR="00E97A47" w:rsidRDefault="00000000">
      <w:pPr>
        <w:pStyle w:val="ListBullet"/>
        <w:spacing w:after="80"/>
      </w:pPr>
      <w:r>
        <w:rPr>
          <w:b/>
        </w:rPr>
        <w:t>Electric and Magnetic Fields:</w:t>
      </w:r>
      <w:r>
        <w:t xml:space="preserve"> Coulomb's law, electric field strength, capacitors (charging/discharging, energy storage), magnetic flux density, electromagnetic induction, Faraday's and Lenz's laws, and alternating current.</w:t>
      </w:r>
    </w:p>
    <w:p w14:paraId="4E383CEA" w14:textId="36EB60D2" w:rsidR="00E97A47" w:rsidRDefault="00000000">
      <w:pPr>
        <w:pStyle w:val="ListBullet"/>
        <w:spacing w:after="80"/>
      </w:pPr>
      <w:r>
        <w:rPr>
          <w:b/>
        </w:rPr>
        <w:t>Nuclear and Particle Physics:</w:t>
      </w:r>
      <w:r>
        <w:t xml:space="preserve"> Atomic structure, alpha-particle scattering, quarks, leptons, baryons, mesons, anti-matter, high-energy particle accelerators.</w:t>
      </w:r>
    </w:p>
    <w:p w14:paraId="5E85C35C" w14:textId="77777777" w:rsidR="00E97A47" w:rsidRDefault="00000000">
      <w:pPr>
        <w:pStyle w:val="ListBullet"/>
        <w:spacing w:after="80"/>
      </w:pPr>
      <w:r>
        <w:rPr>
          <w:b/>
        </w:rPr>
        <w:t>Thermodynamics:</w:t>
      </w:r>
      <w:r>
        <w:t xml:space="preserve"> Specific heat capacity, specific latent heat, internal energy, ideal gas laws, kinetic theory of gases, and absolute zero.</w:t>
      </w:r>
    </w:p>
    <w:p w14:paraId="4CA47EE8" w14:textId="77777777" w:rsidR="00E97A47" w:rsidRDefault="00000000">
      <w:pPr>
        <w:pStyle w:val="ListBullet"/>
        <w:spacing w:after="80"/>
      </w:pPr>
      <w:r>
        <w:rPr>
          <w:b/>
        </w:rPr>
        <w:t>Space and Gravitational Fields:</w:t>
      </w:r>
      <w:r>
        <w:t xml:space="preserve"> Gravitational field strength, Newton’s law of gravitation, planetary orbits, stellar classification, Hertzsprung-Russell diagrams, standard candles, Doppler effect, Hubble's law, and the evolution of the Universe.</w:t>
      </w:r>
    </w:p>
    <w:p w14:paraId="5DA565FE" w14:textId="77777777" w:rsidR="00E97A47" w:rsidRDefault="00000000">
      <w:pPr>
        <w:pStyle w:val="ListBullet"/>
        <w:spacing w:after="80"/>
      </w:pPr>
      <w:r>
        <w:rPr>
          <w:b/>
        </w:rPr>
        <w:t>Nuclear Radiation:</w:t>
      </w:r>
      <w:r>
        <w:t xml:space="preserve"> Radioactive decay laws, half-life, carbon dating, nuclear binding energy, mass defect, nuclear fission, and nuclear fusion.</w:t>
      </w:r>
    </w:p>
    <w:p w14:paraId="7751F719" w14:textId="77777777" w:rsidR="004901B5" w:rsidRDefault="004901B5">
      <w:pPr>
        <w:rPr>
          <w:rFonts w:eastAsiaTheme="majorEastAsia" w:cstheme="majorBidi"/>
          <w:b/>
          <w:bCs/>
          <w:color w:val="4A148C"/>
          <w:sz w:val="32"/>
          <w:szCs w:val="28"/>
        </w:rPr>
      </w:pPr>
      <w:r>
        <w:rPr>
          <w:color w:val="4A148C"/>
          <w:sz w:val="32"/>
        </w:rPr>
        <w:br w:type="page"/>
      </w:r>
    </w:p>
    <w:p w14:paraId="2D46A7B4" w14:textId="2D0015D2" w:rsidR="00E97A47" w:rsidRDefault="00000000">
      <w:pPr>
        <w:pStyle w:val="Heading1"/>
        <w:spacing w:before="440" w:after="160"/>
      </w:pPr>
      <w:r>
        <w:rPr>
          <w:rFonts w:ascii="Arial" w:hAnsi="Arial"/>
          <w:color w:val="4A148C"/>
          <w:sz w:val="32"/>
        </w:rPr>
        <w:lastRenderedPageBreak/>
        <w:t>The Final Examinations</w:t>
      </w:r>
    </w:p>
    <w:p w14:paraId="0A9C637C" w14:textId="25ED6647" w:rsidR="00E97A47" w:rsidRDefault="00000000">
      <w:pPr>
        <w:spacing w:after="240"/>
      </w:pPr>
      <w:r>
        <w:t xml:space="preserve">Your overall A-Level grade is calculated entirely from three written examination papers taken at the end of Year 13. There are no module retakes or separate coursework weighting structures for the grade.  </w:t>
      </w:r>
      <w:r w:rsidR="00610318">
        <w:t>Exam overview</w:t>
      </w:r>
      <w:r>
        <w:t xml:space="preserve"> is as follows:</w:t>
      </w:r>
    </w:p>
    <w:tbl>
      <w:tblPr>
        <w:tblW w:w="0" w:type="auto"/>
        <w:jc w:val="center"/>
        <w:tblLook w:val="04A0" w:firstRow="1" w:lastRow="0" w:firstColumn="1" w:lastColumn="0" w:noHBand="0" w:noVBand="1"/>
      </w:tblPr>
      <w:tblGrid>
        <w:gridCol w:w="1540"/>
        <w:gridCol w:w="2913"/>
        <w:gridCol w:w="2085"/>
        <w:gridCol w:w="1273"/>
        <w:gridCol w:w="1549"/>
      </w:tblGrid>
      <w:tr w:rsidR="00E97A47" w14:paraId="50626BDE" w14:textId="77777777">
        <w:trPr>
          <w:jc w:val="center"/>
        </w:trPr>
        <w:tc>
          <w:tcPr>
            <w:tcW w:w="1584" w:type="dxa"/>
            <w:tcBorders>
              <w:bottom w:val="single" w:sz="12" w:space="0" w:color="4A148C"/>
            </w:tcBorders>
            <w:shd w:val="clear" w:color="auto" w:fill="4A148C"/>
            <w:tcMar>
              <w:top w:w="120" w:type="dxa"/>
              <w:left w:w="100" w:type="dxa"/>
              <w:bottom w:w="120" w:type="dxa"/>
              <w:right w:w="100" w:type="dxa"/>
            </w:tcMar>
          </w:tcPr>
          <w:p w14:paraId="2CA13D47" w14:textId="77777777" w:rsidR="00E97A47" w:rsidRDefault="00000000">
            <w:pPr>
              <w:jc w:val="center"/>
            </w:pPr>
            <w:r>
              <w:rPr>
                <w:b/>
                <w:color w:val="FFFFFF"/>
                <w:sz w:val="20"/>
              </w:rPr>
              <w:t>Paper / Code</w:t>
            </w:r>
          </w:p>
        </w:tc>
        <w:tc>
          <w:tcPr>
            <w:tcW w:w="3024" w:type="dxa"/>
            <w:tcBorders>
              <w:bottom w:val="single" w:sz="12" w:space="0" w:color="4A148C"/>
            </w:tcBorders>
            <w:shd w:val="clear" w:color="auto" w:fill="4A148C"/>
            <w:tcMar>
              <w:top w:w="120" w:type="dxa"/>
              <w:left w:w="100" w:type="dxa"/>
              <w:bottom w:w="120" w:type="dxa"/>
              <w:right w:w="100" w:type="dxa"/>
            </w:tcMar>
          </w:tcPr>
          <w:p w14:paraId="40B88D3B" w14:textId="77777777" w:rsidR="00E97A47" w:rsidRDefault="00000000">
            <w:pPr>
              <w:jc w:val="center"/>
            </w:pPr>
            <w:r>
              <w:rPr>
                <w:b/>
                <w:color w:val="FFFFFF"/>
                <w:sz w:val="20"/>
              </w:rPr>
              <w:t>Content Cover</w:t>
            </w:r>
          </w:p>
        </w:tc>
        <w:tc>
          <w:tcPr>
            <w:tcW w:w="2160" w:type="dxa"/>
            <w:tcBorders>
              <w:bottom w:val="single" w:sz="12" w:space="0" w:color="4A148C"/>
            </w:tcBorders>
            <w:shd w:val="clear" w:color="auto" w:fill="4A148C"/>
            <w:tcMar>
              <w:top w:w="120" w:type="dxa"/>
              <w:left w:w="100" w:type="dxa"/>
              <w:bottom w:w="120" w:type="dxa"/>
              <w:right w:w="100" w:type="dxa"/>
            </w:tcMar>
          </w:tcPr>
          <w:p w14:paraId="030EF25E" w14:textId="77777777" w:rsidR="00E97A47" w:rsidRDefault="00000000">
            <w:pPr>
              <w:jc w:val="center"/>
            </w:pPr>
            <w:r>
              <w:rPr>
                <w:b/>
                <w:color w:val="FFFFFF"/>
                <w:sz w:val="20"/>
              </w:rPr>
              <w:t>Question Structure</w:t>
            </w:r>
          </w:p>
        </w:tc>
        <w:tc>
          <w:tcPr>
            <w:tcW w:w="1296" w:type="dxa"/>
            <w:tcBorders>
              <w:bottom w:val="single" w:sz="12" w:space="0" w:color="4A148C"/>
            </w:tcBorders>
            <w:shd w:val="clear" w:color="auto" w:fill="4A148C"/>
            <w:tcMar>
              <w:top w:w="120" w:type="dxa"/>
              <w:left w:w="100" w:type="dxa"/>
              <w:bottom w:w="120" w:type="dxa"/>
              <w:right w:w="100" w:type="dxa"/>
            </w:tcMar>
          </w:tcPr>
          <w:p w14:paraId="6F74C322" w14:textId="77777777" w:rsidR="00E97A47" w:rsidRDefault="00000000">
            <w:pPr>
              <w:jc w:val="center"/>
            </w:pPr>
            <w:r>
              <w:rPr>
                <w:b/>
                <w:color w:val="FFFFFF"/>
                <w:sz w:val="20"/>
              </w:rPr>
              <w:t>Duration</w:t>
            </w:r>
          </w:p>
        </w:tc>
        <w:tc>
          <w:tcPr>
            <w:tcW w:w="1584" w:type="dxa"/>
            <w:tcBorders>
              <w:bottom w:val="single" w:sz="12" w:space="0" w:color="4A148C"/>
            </w:tcBorders>
            <w:shd w:val="clear" w:color="auto" w:fill="4A148C"/>
            <w:tcMar>
              <w:top w:w="120" w:type="dxa"/>
              <w:left w:w="100" w:type="dxa"/>
              <w:bottom w:w="120" w:type="dxa"/>
              <w:right w:w="100" w:type="dxa"/>
            </w:tcMar>
          </w:tcPr>
          <w:p w14:paraId="6D6ED807" w14:textId="77777777" w:rsidR="00E97A47" w:rsidRDefault="00000000">
            <w:pPr>
              <w:jc w:val="center"/>
            </w:pPr>
            <w:r>
              <w:rPr>
                <w:b/>
                <w:color w:val="FFFFFF"/>
                <w:sz w:val="20"/>
              </w:rPr>
              <w:t>Marks &amp; Weighting</w:t>
            </w:r>
          </w:p>
        </w:tc>
      </w:tr>
      <w:tr w:rsidR="00E97A47" w14:paraId="5AE448D2" w14:textId="77777777">
        <w:trPr>
          <w:jc w:val="center"/>
        </w:trPr>
        <w:tc>
          <w:tcPr>
            <w:tcW w:w="1584" w:type="dxa"/>
            <w:tcBorders>
              <w:top w:val="single" w:sz="4" w:space="0" w:color="D1C4E9"/>
              <w:left w:val="single" w:sz="4" w:space="0" w:color="D1C4E9"/>
              <w:bottom w:val="single" w:sz="4" w:space="0" w:color="D1C4E9"/>
              <w:right w:val="single" w:sz="4" w:space="0" w:color="D1C4E9"/>
            </w:tcBorders>
            <w:shd w:val="clear" w:color="auto" w:fill="FFFFFF"/>
            <w:tcMar>
              <w:top w:w="100" w:type="dxa"/>
              <w:left w:w="100" w:type="dxa"/>
              <w:bottom w:w="100" w:type="dxa"/>
              <w:right w:w="100" w:type="dxa"/>
            </w:tcMar>
          </w:tcPr>
          <w:p w14:paraId="6AD11011" w14:textId="77777777" w:rsidR="00E97A47" w:rsidRDefault="00000000">
            <w:pPr>
              <w:spacing w:before="80" w:after="80" w:line="252" w:lineRule="auto"/>
              <w:jc w:val="center"/>
            </w:pPr>
            <w:r>
              <w:rPr>
                <w:sz w:val="19"/>
              </w:rPr>
              <w:t>Paper 1</w:t>
            </w:r>
            <w:r>
              <w:rPr>
                <w:sz w:val="19"/>
              </w:rPr>
              <w:br/>
              <w:t>Advanced Physics I</w:t>
            </w:r>
            <w:r>
              <w:rPr>
                <w:sz w:val="19"/>
              </w:rPr>
              <w:br/>
              <w:t>(9PH0/01)</w:t>
            </w:r>
          </w:p>
        </w:tc>
        <w:tc>
          <w:tcPr>
            <w:tcW w:w="3024" w:type="dxa"/>
            <w:tcBorders>
              <w:top w:val="single" w:sz="4" w:space="0" w:color="D1C4E9"/>
              <w:left w:val="single" w:sz="4" w:space="0" w:color="D1C4E9"/>
              <w:bottom w:val="single" w:sz="4" w:space="0" w:color="D1C4E9"/>
              <w:right w:val="single" w:sz="4" w:space="0" w:color="D1C4E9"/>
            </w:tcBorders>
            <w:shd w:val="clear" w:color="auto" w:fill="FFFFFF"/>
            <w:tcMar>
              <w:top w:w="100" w:type="dxa"/>
              <w:left w:w="100" w:type="dxa"/>
              <w:bottom w:w="100" w:type="dxa"/>
              <w:right w:w="100" w:type="dxa"/>
            </w:tcMar>
          </w:tcPr>
          <w:p w14:paraId="71625602" w14:textId="49BB2699" w:rsidR="00E97A47" w:rsidRDefault="002D36FC">
            <w:pPr>
              <w:spacing w:before="80" w:after="80" w:line="252" w:lineRule="auto"/>
            </w:pPr>
            <w:r>
              <w:rPr>
                <w:sz w:val="19"/>
              </w:rPr>
              <w:t xml:space="preserve">Working as a Physicist, </w:t>
            </w:r>
            <w:r w:rsidR="00000000">
              <w:rPr>
                <w:sz w:val="19"/>
              </w:rPr>
              <w:t>Mechanics, Further Mechanics, Electric Circuits, Electric Fields, Magnetic Fields, Gravitational Fields, Nuclear &amp; Particle Physics.</w:t>
            </w:r>
          </w:p>
        </w:tc>
        <w:tc>
          <w:tcPr>
            <w:tcW w:w="2160" w:type="dxa"/>
            <w:tcBorders>
              <w:top w:val="single" w:sz="4" w:space="0" w:color="D1C4E9"/>
              <w:left w:val="single" w:sz="4" w:space="0" w:color="D1C4E9"/>
              <w:bottom w:val="single" w:sz="4" w:space="0" w:color="D1C4E9"/>
              <w:right w:val="single" w:sz="4" w:space="0" w:color="D1C4E9"/>
            </w:tcBorders>
            <w:shd w:val="clear" w:color="auto" w:fill="FFFFFF"/>
            <w:tcMar>
              <w:top w:w="100" w:type="dxa"/>
              <w:left w:w="100" w:type="dxa"/>
              <w:bottom w:w="100" w:type="dxa"/>
              <w:right w:w="100" w:type="dxa"/>
            </w:tcMar>
          </w:tcPr>
          <w:p w14:paraId="648A720D" w14:textId="77777777" w:rsidR="00E97A47" w:rsidRDefault="00000000">
            <w:pPr>
              <w:spacing w:before="80" w:after="80" w:line="252" w:lineRule="auto"/>
            </w:pPr>
            <w:r>
              <w:rPr>
                <w:sz w:val="19"/>
              </w:rPr>
              <w:t>Multiple-choice, short-answer, open-response, and extended writing long-answer questions.</w:t>
            </w:r>
          </w:p>
        </w:tc>
        <w:tc>
          <w:tcPr>
            <w:tcW w:w="1296" w:type="dxa"/>
            <w:tcBorders>
              <w:top w:val="single" w:sz="4" w:space="0" w:color="D1C4E9"/>
              <w:left w:val="single" w:sz="4" w:space="0" w:color="D1C4E9"/>
              <w:bottom w:val="single" w:sz="4" w:space="0" w:color="D1C4E9"/>
              <w:right w:val="single" w:sz="4" w:space="0" w:color="D1C4E9"/>
            </w:tcBorders>
            <w:shd w:val="clear" w:color="auto" w:fill="FFFFFF"/>
            <w:tcMar>
              <w:top w:w="100" w:type="dxa"/>
              <w:left w:w="100" w:type="dxa"/>
              <w:bottom w:w="100" w:type="dxa"/>
              <w:right w:w="100" w:type="dxa"/>
            </w:tcMar>
          </w:tcPr>
          <w:p w14:paraId="2E464925" w14:textId="77777777" w:rsidR="00E97A47" w:rsidRDefault="00000000">
            <w:pPr>
              <w:spacing w:before="80" w:after="80" w:line="252" w:lineRule="auto"/>
              <w:jc w:val="center"/>
            </w:pPr>
            <w:r>
              <w:rPr>
                <w:sz w:val="19"/>
              </w:rPr>
              <w:t>1 Hour 45 Mins</w:t>
            </w:r>
          </w:p>
        </w:tc>
        <w:tc>
          <w:tcPr>
            <w:tcW w:w="1584" w:type="dxa"/>
            <w:tcBorders>
              <w:top w:val="single" w:sz="4" w:space="0" w:color="D1C4E9"/>
              <w:left w:val="single" w:sz="4" w:space="0" w:color="D1C4E9"/>
              <w:bottom w:val="single" w:sz="4" w:space="0" w:color="D1C4E9"/>
              <w:right w:val="single" w:sz="4" w:space="0" w:color="D1C4E9"/>
            </w:tcBorders>
            <w:shd w:val="clear" w:color="auto" w:fill="FFFFFF"/>
            <w:tcMar>
              <w:top w:w="100" w:type="dxa"/>
              <w:left w:w="100" w:type="dxa"/>
              <w:bottom w:w="100" w:type="dxa"/>
              <w:right w:w="100" w:type="dxa"/>
            </w:tcMar>
          </w:tcPr>
          <w:p w14:paraId="5970E3E9" w14:textId="08BEAE79" w:rsidR="00E97A47" w:rsidRDefault="00000000">
            <w:pPr>
              <w:spacing w:before="80" w:after="80" w:line="252" w:lineRule="auto"/>
              <w:jc w:val="center"/>
            </w:pPr>
            <w:r>
              <w:rPr>
                <w:sz w:val="19"/>
              </w:rPr>
              <w:t>90 Marks</w:t>
            </w:r>
            <w:r>
              <w:rPr>
                <w:sz w:val="19"/>
              </w:rPr>
              <w:br/>
            </w:r>
            <w:r>
              <w:rPr>
                <w:sz w:val="19"/>
              </w:rPr>
              <w:br/>
              <w:t>3</w:t>
            </w:r>
            <w:r w:rsidR="002D36FC">
              <w:rPr>
                <w:sz w:val="19"/>
              </w:rPr>
              <w:t>0</w:t>
            </w:r>
            <w:r>
              <w:rPr>
                <w:sz w:val="19"/>
              </w:rPr>
              <w:t>% of Total</w:t>
            </w:r>
          </w:p>
        </w:tc>
      </w:tr>
      <w:tr w:rsidR="00E97A47" w14:paraId="06BC2F49" w14:textId="77777777">
        <w:trPr>
          <w:jc w:val="center"/>
        </w:trPr>
        <w:tc>
          <w:tcPr>
            <w:tcW w:w="1584" w:type="dxa"/>
            <w:tcBorders>
              <w:top w:val="single" w:sz="4" w:space="0" w:color="D1C4E9"/>
              <w:left w:val="single" w:sz="4" w:space="0" w:color="D1C4E9"/>
              <w:bottom w:val="single" w:sz="4" w:space="0" w:color="D1C4E9"/>
              <w:right w:val="single" w:sz="4" w:space="0" w:color="D1C4E9"/>
            </w:tcBorders>
            <w:shd w:val="clear" w:color="auto" w:fill="F3E5F5"/>
            <w:tcMar>
              <w:top w:w="100" w:type="dxa"/>
              <w:left w:w="100" w:type="dxa"/>
              <w:bottom w:w="100" w:type="dxa"/>
              <w:right w:w="100" w:type="dxa"/>
            </w:tcMar>
          </w:tcPr>
          <w:p w14:paraId="02CA7EB4" w14:textId="77777777" w:rsidR="00E97A47" w:rsidRDefault="00000000">
            <w:pPr>
              <w:spacing w:before="80" w:after="80" w:line="252" w:lineRule="auto"/>
              <w:jc w:val="center"/>
            </w:pPr>
            <w:r>
              <w:rPr>
                <w:sz w:val="19"/>
              </w:rPr>
              <w:t>Paper 2</w:t>
            </w:r>
            <w:r>
              <w:rPr>
                <w:sz w:val="19"/>
              </w:rPr>
              <w:br/>
              <w:t>Advanced Physics II</w:t>
            </w:r>
            <w:r>
              <w:rPr>
                <w:sz w:val="19"/>
              </w:rPr>
              <w:br/>
              <w:t>(9PH0/02)</w:t>
            </w:r>
          </w:p>
        </w:tc>
        <w:tc>
          <w:tcPr>
            <w:tcW w:w="3024" w:type="dxa"/>
            <w:tcBorders>
              <w:top w:val="single" w:sz="4" w:space="0" w:color="D1C4E9"/>
              <w:left w:val="single" w:sz="4" w:space="0" w:color="D1C4E9"/>
              <w:bottom w:val="single" w:sz="4" w:space="0" w:color="D1C4E9"/>
              <w:right w:val="single" w:sz="4" w:space="0" w:color="D1C4E9"/>
            </w:tcBorders>
            <w:shd w:val="clear" w:color="auto" w:fill="F3E5F5"/>
            <w:tcMar>
              <w:top w:w="100" w:type="dxa"/>
              <w:left w:w="100" w:type="dxa"/>
              <w:bottom w:w="100" w:type="dxa"/>
              <w:right w:w="100" w:type="dxa"/>
            </w:tcMar>
          </w:tcPr>
          <w:p w14:paraId="2D6B6DC6" w14:textId="32BB9E58" w:rsidR="00E97A47" w:rsidRDefault="002D36FC">
            <w:pPr>
              <w:spacing w:before="80" w:after="80" w:line="252" w:lineRule="auto"/>
            </w:pPr>
            <w:r>
              <w:rPr>
                <w:sz w:val="19"/>
              </w:rPr>
              <w:t xml:space="preserve">Working as a Physicist, </w:t>
            </w:r>
            <w:r w:rsidR="00000000">
              <w:rPr>
                <w:sz w:val="19"/>
              </w:rPr>
              <w:t>Materials, Waves, Particle Nature of Light, Thermodynamics, Space, Gravitational Fields, Nuclear Radiation.</w:t>
            </w:r>
          </w:p>
        </w:tc>
        <w:tc>
          <w:tcPr>
            <w:tcW w:w="2160" w:type="dxa"/>
            <w:tcBorders>
              <w:top w:val="single" w:sz="4" w:space="0" w:color="D1C4E9"/>
              <w:left w:val="single" w:sz="4" w:space="0" w:color="D1C4E9"/>
              <w:bottom w:val="single" w:sz="4" w:space="0" w:color="D1C4E9"/>
              <w:right w:val="single" w:sz="4" w:space="0" w:color="D1C4E9"/>
            </w:tcBorders>
            <w:shd w:val="clear" w:color="auto" w:fill="F3E5F5"/>
            <w:tcMar>
              <w:top w:w="100" w:type="dxa"/>
              <w:left w:w="100" w:type="dxa"/>
              <w:bottom w:w="100" w:type="dxa"/>
              <w:right w:w="100" w:type="dxa"/>
            </w:tcMar>
          </w:tcPr>
          <w:p w14:paraId="0D5F091F" w14:textId="77777777" w:rsidR="00E97A47" w:rsidRDefault="00000000">
            <w:pPr>
              <w:spacing w:before="80" w:after="80" w:line="252" w:lineRule="auto"/>
            </w:pPr>
            <w:r>
              <w:rPr>
                <w:sz w:val="19"/>
              </w:rPr>
              <w:t>Multiple-choice, short-answer, open-response, and extended writing long-answer questions.</w:t>
            </w:r>
          </w:p>
        </w:tc>
        <w:tc>
          <w:tcPr>
            <w:tcW w:w="1296" w:type="dxa"/>
            <w:tcBorders>
              <w:top w:val="single" w:sz="4" w:space="0" w:color="D1C4E9"/>
              <w:left w:val="single" w:sz="4" w:space="0" w:color="D1C4E9"/>
              <w:bottom w:val="single" w:sz="4" w:space="0" w:color="D1C4E9"/>
              <w:right w:val="single" w:sz="4" w:space="0" w:color="D1C4E9"/>
            </w:tcBorders>
            <w:shd w:val="clear" w:color="auto" w:fill="F3E5F5"/>
            <w:tcMar>
              <w:top w:w="100" w:type="dxa"/>
              <w:left w:w="100" w:type="dxa"/>
              <w:bottom w:w="100" w:type="dxa"/>
              <w:right w:w="100" w:type="dxa"/>
            </w:tcMar>
          </w:tcPr>
          <w:p w14:paraId="11ED999F" w14:textId="77777777" w:rsidR="00E97A47" w:rsidRDefault="00000000">
            <w:pPr>
              <w:spacing w:before="80" w:after="80" w:line="252" w:lineRule="auto"/>
              <w:jc w:val="center"/>
            </w:pPr>
            <w:r>
              <w:rPr>
                <w:sz w:val="19"/>
              </w:rPr>
              <w:t>1 Hour 45 Mins</w:t>
            </w:r>
          </w:p>
        </w:tc>
        <w:tc>
          <w:tcPr>
            <w:tcW w:w="1584" w:type="dxa"/>
            <w:tcBorders>
              <w:top w:val="single" w:sz="4" w:space="0" w:color="D1C4E9"/>
              <w:left w:val="single" w:sz="4" w:space="0" w:color="D1C4E9"/>
              <w:bottom w:val="single" w:sz="4" w:space="0" w:color="D1C4E9"/>
              <w:right w:val="single" w:sz="4" w:space="0" w:color="D1C4E9"/>
            </w:tcBorders>
            <w:shd w:val="clear" w:color="auto" w:fill="F3E5F5"/>
            <w:tcMar>
              <w:top w:w="100" w:type="dxa"/>
              <w:left w:w="100" w:type="dxa"/>
              <w:bottom w:w="100" w:type="dxa"/>
              <w:right w:w="100" w:type="dxa"/>
            </w:tcMar>
          </w:tcPr>
          <w:p w14:paraId="632B1471" w14:textId="01577944" w:rsidR="00E97A47" w:rsidRDefault="00000000">
            <w:pPr>
              <w:spacing w:before="80" w:after="80" w:line="252" w:lineRule="auto"/>
              <w:jc w:val="center"/>
            </w:pPr>
            <w:r>
              <w:rPr>
                <w:sz w:val="19"/>
              </w:rPr>
              <w:t>90 Marks</w:t>
            </w:r>
            <w:r>
              <w:rPr>
                <w:sz w:val="19"/>
              </w:rPr>
              <w:br/>
            </w:r>
            <w:r>
              <w:rPr>
                <w:sz w:val="19"/>
              </w:rPr>
              <w:br/>
              <w:t>3</w:t>
            </w:r>
            <w:r w:rsidR="002D36FC">
              <w:rPr>
                <w:sz w:val="19"/>
              </w:rPr>
              <w:t>0</w:t>
            </w:r>
            <w:r>
              <w:rPr>
                <w:sz w:val="19"/>
              </w:rPr>
              <w:t>% of Total</w:t>
            </w:r>
          </w:p>
        </w:tc>
      </w:tr>
      <w:tr w:rsidR="00E97A47" w14:paraId="2F521169" w14:textId="77777777">
        <w:trPr>
          <w:jc w:val="center"/>
        </w:trPr>
        <w:tc>
          <w:tcPr>
            <w:tcW w:w="1584" w:type="dxa"/>
            <w:tcBorders>
              <w:top w:val="single" w:sz="4" w:space="0" w:color="D1C4E9"/>
              <w:left w:val="single" w:sz="4" w:space="0" w:color="D1C4E9"/>
              <w:bottom w:val="single" w:sz="4" w:space="0" w:color="D1C4E9"/>
              <w:right w:val="single" w:sz="4" w:space="0" w:color="D1C4E9"/>
            </w:tcBorders>
            <w:shd w:val="clear" w:color="auto" w:fill="FFFFFF"/>
            <w:tcMar>
              <w:top w:w="100" w:type="dxa"/>
              <w:left w:w="100" w:type="dxa"/>
              <w:bottom w:w="100" w:type="dxa"/>
              <w:right w:w="100" w:type="dxa"/>
            </w:tcMar>
          </w:tcPr>
          <w:p w14:paraId="7C6EBD23" w14:textId="77777777" w:rsidR="00E97A47" w:rsidRDefault="00000000">
            <w:pPr>
              <w:spacing w:before="80" w:after="80" w:line="252" w:lineRule="auto"/>
              <w:jc w:val="center"/>
            </w:pPr>
            <w:r>
              <w:rPr>
                <w:sz w:val="19"/>
              </w:rPr>
              <w:t>Paper 3</w:t>
            </w:r>
            <w:r>
              <w:rPr>
                <w:sz w:val="19"/>
              </w:rPr>
              <w:br/>
              <w:t>General &amp; Practical Principles</w:t>
            </w:r>
            <w:r>
              <w:rPr>
                <w:sz w:val="19"/>
              </w:rPr>
              <w:br/>
              <w:t>(9PH0/03)</w:t>
            </w:r>
          </w:p>
        </w:tc>
        <w:tc>
          <w:tcPr>
            <w:tcW w:w="3024" w:type="dxa"/>
            <w:tcBorders>
              <w:top w:val="single" w:sz="4" w:space="0" w:color="D1C4E9"/>
              <w:left w:val="single" w:sz="4" w:space="0" w:color="D1C4E9"/>
              <w:bottom w:val="single" w:sz="4" w:space="0" w:color="D1C4E9"/>
              <w:right w:val="single" w:sz="4" w:space="0" w:color="D1C4E9"/>
            </w:tcBorders>
            <w:shd w:val="clear" w:color="auto" w:fill="FFFFFF"/>
            <w:tcMar>
              <w:top w:w="100" w:type="dxa"/>
              <w:left w:w="100" w:type="dxa"/>
              <w:bottom w:w="100" w:type="dxa"/>
              <w:right w:w="100" w:type="dxa"/>
            </w:tcMar>
          </w:tcPr>
          <w:p w14:paraId="3F5ADBB4" w14:textId="77777777" w:rsidR="00E97A47" w:rsidRDefault="00000000">
            <w:pPr>
              <w:spacing w:before="80" w:after="80" w:line="252" w:lineRule="auto"/>
            </w:pPr>
            <w:r>
              <w:rPr>
                <w:sz w:val="19"/>
              </w:rPr>
              <w:t>Synoptic cover of ALL topics across the course.</w:t>
            </w:r>
            <w:r>
              <w:rPr>
                <w:sz w:val="19"/>
              </w:rPr>
              <w:br/>
            </w:r>
            <w:r>
              <w:rPr>
                <w:sz w:val="19"/>
              </w:rPr>
              <w:br/>
              <w:t>Questions focus heavily on conceptual understanding, experimental methods, data analysis, and uncertainties.</w:t>
            </w:r>
          </w:p>
        </w:tc>
        <w:tc>
          <w:tcPr>
            <w:tcW w:w="2160" w:type="dxa"/>
            <w:tcBorders>
              <w:top w:val="single" w:sz="4" w:space="0" w:color="D1C4E9"/>
              <w:left w:val="single" w:sz="4" w:space="0" w:color="D1C4E9"/>
              <w:bottom w:val="single" w:sz="4" w:space="0" w:color="D1C4E9"/>
              <w:right w:val="single" w:sz="4" w:space="0" w:color="D1C4E9"/>
            </w:tcBorders>
            <w:shd w:val="clear" w:color="auto" w:fill="FFFFFF"/>
            <w:tcMar>
              <w:top w:w="100" w:type="dxa"/>
              <w:left w:w="100" w:type="dxa"/>
              <w:bottom w:w="100" w:type="dxa"/>
              <w:right w:w="100" w:type="dxa"/>
            </w:tcMar>
          </w:tcPr>
          <w:p w14:paraId="1BAB6920" w14:textId="17B9E5B8" w:rsidR="00E97A47" w:rsidRDefault="00000000">
            <w:pPr>
              <w:spacing w:before="80" w:after="80" w:line="252" w:lineRule="auto"/>
            </w:pPr>
            <w:r>
              <w:rPr>
                <w:sz w:val="19"/>
              </w:rPr>
              <w:t xml:space="preserve">Short-answer, open-response, calculation, and data assessment. </w:t>
            </w:r>
            <w:r>
              <w:rPr>
                <w:sz w:val="19"/>
              </w:rPr>
              <w:br/>
            </w:r>
          </w:p>
        </w:tc>
        <w:tc>
          <w:tcPr>
            <w:tcW w:w="1296" w:type="dxa"/>
            <w:tcBorders>
              <w:top w:val="single" w:sz="4" w:space="0" w:color="D1C4E9"/>
              <w:left w:val="single" w:sz="4" w:space="0" w:color="D1C4E9"/>
              <w:bottom w:val="single" w:sz="4" w:space="0" w:color="D1C4E9"/>
              <w:right w:val="single" w:sz="4" w:space="0" w:color="D1C4E9"/>
            </w:tcBorders>
            <w:shd w:val="clear" w:color="auto" w:fill="FFFFFF"/>
            <w:tcMar>
              <w:top w:w="100" w:type="dxa"/>
              <w:left w:w="100" w:type="dxa"/>
              <w:bottom w:w="100" w:type="dxa"/>
              <w:right w:w="100" w:type="dxa"/>
            </w:tcMar>
          </w:tcPr>
          <w:p w14:paraId="19ECB736" w14:textId="77777777" w:rsidR="00E97A47" w:rsidRDefault="00000000">
            <w:pPr>
              <w:spacing w:before="80" w:after="80" w:line="252" w:lineRule="auto"/>
              <w:jc w:val="center"/>
            </w:pPr>
            <w:r>
              <w:rPr>
                <w:sz w:val="19"/>
              </w:rPr>
              <w:t>2 Hours 30 Mins</w:t>
            </w:r>
          </w:p>
        </w:tc>
        <w:tc>
          <w:tcPr>
            <w:tcW w:w="1584" w:type="dxa"/>
            <w:tcBorders>
              <w:top w:val="single" w:sz="4" w:space="0" w:color="D1C4E9"/>
              <w:left w:val="single" w:sz="4" w:space="0" w:color="D1C4E9"/>
              <w:bottom w:val="single" w:sz="4" w:space="0" w:color="D1C4E9"/>
              <w:right w:val="single" w:sz="4" w:space="0" w:color="D1C4E9"/>
            </w:tcBorders>
            <w:shd w:val="clear" w:color="auto" w:fill="FFFFFF"/>
            <w:tcMar>
              <w:top w:w="100" w:type="dxa"/>
              <w:left w:w="100" w:type="dxa"/>
              <w:bottom w:w="100" w:type="dxa"/>
              <w:right w:w="100" w:type="dxa"/>
            </w:tcMar>
          </w:tcPr>
          <w:p w14:paraId="293D4A24" w14:textId="3F03851F" w:rsidR="00E97A47" w:rsidRDefault="00000000">
            <w:pPr>
              <w:spacing w:before="80" w:after="80" w:line="252" w:lineRule="auto"/>
              <w:jc w:val="center"/>
            </w:pPr>
            <w:r>
              <w:rPr>
                <w:sz w:val="19"/>
              </w:rPr>
              <w:t>120 Marks</w:t>
            </w:r>
            <w:r>
              <w:rPr>
                <w:sz w:val="19"/>
              </w:rPr>
              <w:br/>
            </w:r>
            <w:r>
              <w:rPr>
                <w:sz w:val="19"/>
              </w:rPr>
              <w:br/>
            </w:r>
            <w:r w:rsidR="002D36FC">
              <w:rPr>
                <w:sz w:val="19"/>
              </w:rPr>
              <w:t>4</w:t>
            </w:r>
            <w:r>
              <w:rPr>
                <w:sz w:val="19"/>
              </w:rPr>
              <w:t>0% of Total</w:t>
            </w:r>
          </w:p>
        </w:tc>
      </w:tr>
    </w:tbl>
    <w:p w14:paraId="7A72A3CF" w14:textId="77777777" w:rsidR="00E97A47" w:rsidRDefault="00E97A47"/>
    <w:p w14:paraId="1DDD37E2" w14:textId="77777777" w:rsidR="00757672" w:rsidRDefault="00757672">
      <w:pPr>
        <w:rPr>
          <w:rFonts w:eastAsiaTheme="majorEastAsia" w:cstheme="majorBidi"/>
          <w:b/>
          <w:bCs/>
          <w:color w:val="4A148C"/>
          <w:sz w:val="32"/>
          <w:szCs w:val="28"/>
        </w:rPr>
      </w:pPr>
      <w:r>
        <w:rPr>
          <w:color w:val="4A148C"/>
          <w:sz w:val="32"/>
        </w:rPr>
        <w:br w:type="page"/>
      </w:r>
    </w:p>
    <w:p w14:paraId="1B034505" w14:textId="510DEA2A" w:rsidR="00E97A47" w:rsidRDefault="00000000">
      <w:pPr>
        <w:pStyle w:val="Heading1"/>
        <w:spacing w:before="400" w:after="160"/>
      </w:pPr>
      <w:r>
        <w:rPr>
          <w:rFonts w:ascii="Arial" w:hAnsi="Arial"/>
          <w:color w:val="4A148C"/>
          <w:sz w:val="32"/>
        </w:rPr>
        <w:lastRenderedPageBreak/>
        <w:t>The Science Practical Endorsement &amp; Core Practicals</w:t>
      </w:r>
    </w:p>
    <w:p w14:paraId="677B9E5D" w14:textId="61FF4840" w:rsidR="00E97A47" w:rsidRDefault="00000000">
      <w:r>
        <w:t xml:space="preserve">In addition to your </w:t>
      </w:r>
      <w:r w:rsidR="00D855AF">
        <w:t>final</w:t>
      </w:r>
      <w:r>
        <w:t xml:space="preserve"> grade, you will work to achieve the Science Practical Endorsement. This is a separate pass/fail marker reported on your certificate that demonstrates your laboratory competence to future research universities and tech employers.</w:t>
      </w:r>
    </w:p>
    <w:p w14:paraId="0C7755EA" w14:textId="77777777" w:rsidR="00E97A47" w:rsidRDefault="00000000">
      <w:pPr>
        <w:spacing w:after="240"/>
      </w:pPr>
      <w:r>
        <w:t>You will keep a laboratory notebook detailing your execution of Pearson Edexcel's 16 Core Practical Activities, summarized briefly below:</w:t>
      </w:r>
    </w:p>
    <w:p w14:paraId="5927BCB6" w14:textId="361410B8" w:rsidR="00E97A47" w:rsidRDefault="00000000">
      <w:pPr>
        <w:pStyle w:val="ListBullet"/>
        <w:spacing w:after="80"/>
      </w:pPr>
      <w:r>
        <w:rPr>
          <w:b/>
        </w:rPr>
        <w:t>CP01 — Acceleration of Free Fall:</w:t>
      </w:r>
      <w:r>
        <w:t xml:space="preserve"> Measuring the acceleration of gravity 'g' </w:t>
      </w:r>
      <w:r w:rsidR="00C07441">
        <w:t>by a freefall method.</w:t>
      </w:r>
    </w:p>
    <w:p w14:paraId="647F6FA0" w14:textId="77777777" w:rsidR="00E97A47" w:rsidRDefault="00000000">
      <w:pPr>
        <w:pStyle w:val="ListBullet"/>
        <w:spacing w:after="80"/>
      </w:pPr>
      <w:r>
        <w:rPr>
          <w:b/>
        </w:rPr>
        <w:t>CP02 — Material Resisitivity:</w:t>
      </w:r>
      <w:r>
        <w:t xml:space="preserve"> Determining the electrical resistivity of a metallic wire sample by evaluating its resistance across variable lengths.</w:t>
      </w:r>
    </w:p>
    <w:p w14:paraId="07EA4158" w14:textId="3FF7C888" w:rsidR="00E97A47" w:rsidRDefault="00000000">
      <w:pPr>
        <w:pStyle w:val="ListBullet"/>
        <w:spacing w:after="80"/>
      </w:pPr>
      <w:r>
        <w:rPr>
          <w:b/>
        </w:rPr>
        <w:t>CP03 — Internal Resistance of a Cell</w:t>
      </w:r>
      <w:r w:rsidR="00C07441">
        <w:rPr>
          <w:b/>
        </w:rPr>
        <w:t xml:space="preserve">: </w:t>
      </w:r>
      <w:r w:rsidR="00C07441">
        <w:rPr>
          <w:bCs/>
        </w:rPr>
        <w:t xml:space="preserve">Determining the </w:t>
      </w:r>
      <w:r>
        <w:t>electromotive force (e.m.f.) and internal resistance of an electrical cell by altering external loads.</w:t>
      </w:r>
    </w:p>
    <w:p w14:paraId="40D975E1" w14:textId="77777777" w:rsidR="00E97A47" w:rsidRDefault="00000000">
      <w:pPr>
        <w:pStyle w:val="ListBullet"/>
        <w:spacing w:after="80"/>
      </w:pPr>
      <w:r>
        <w:rPr>
          <w:b/>
        </w:rPr>
        <w:t>CP04 — Viscosity of a Liquid:</w:t>
      </w:r>
      <w:r>
        <w:t xml:space="preserve"> Determining the terminal velocity of a falling sphere through a heavy viscous fluid to calculate its viscosity coefficient.</w:t>
      </w:r>
    </w:p>
    <w:p w14:paraId="718C1951" w14:textId="77777777" w:rsidR="00E97A47" w:rsidRDefault="00000000">
      <w:pPr>
        <w:pStyle w:val="ListBullet"/>
        <w:spacing w:after="80"/>
      </w:pPr>
      <w:r>
        <w:rPr>
          <w:b/>
        </w:rPr>
        <w:t>CP05 — Young Modulus of a Wire:</w:t>
      </w:r>
      <w:r>
        <w:t xml:space="preserve"> Applying systematic tensile stress to a metal wire to measure mechanical strain and evaluate its structural stiffness.</w:t>
      </w:r>
    </w:p>
    <w:p w14:paraId="26B43DCD" w14:textId="4DFAF543" w:rsidR="00E97A47" w:rsidRDefault="00000000">
      <w:pPr>
        <w:pStyle w:val="ListBullet"/>
        <w:spacing w:after="80"/>
      </w:pPr>
      <w:r>
        <w:rPr>
          <w:b/>
        </w:rPr>
        <w:t>CP06 — Speed of Sound in Air:</w:t>
      </w:r>
      <w:r>
        <w:t xml:space="preserve"> Using a</w:t>
      </w:r>
      <w:r w:rsidR="00D174FB">
        <w:t xml:space="preserve"> signal generator and oscilloscope to determine</w:t>
      </w:r>
      <w:r>
        <w:t xml:space="preserve"> the </w:t>
      </w:r>
      <w:r w:rsidR="00D174FB">
        <w:t>speed of sound in air</w:t>
      </w:r>
      <w:r>
        <w:t>.</w:t>
      </w:r>
    </w:p>
    <w:p w14:paraId="6BB3A13C" w14:textId="3DB4E196" w:rsidR="00E97A47" w:rsidRDefault="00000000">
      <w:pPr>
        <w:pStyle w:val="ListBullet"/>
        <w:spacing w:after="80"/>
      </w:pPr>
      <w:r>
        <w:rPr>
          <w:b/>
        </w:rPr>
        <w:t xml:space="preserve">CP07 — </w:t>
      </w:r>
      <w:r w:rsidR="00300D4D">
        <w:rPr>
          <w:b/>
        </w:rPr>
        <w:t xml:space="preserve">Frequency of a </w:t>
      </w:r>
      <w:r w:rsidR="00157C58">
        <w:rPr>
          <w:b/>
        </w:rPr>
        <w:t>V</w:t>
      </w:r>
      <w:r w:rsidR="00300D4D">
        <w:rPr>
          <w:b/>
        </w:rPr>
        <w:t xml:space="preserve">ibrating </w:t>
      </w:r>
      <w:r w:rsidR="00157C58">
        <w:rPr>
          <w:b/>
        </w:rPr>
        <w:t>S</w:t>
      </w:r>
      <w:r w:rsidR="00300D4D">
        <w:rPr>
          <w:b/>
        </w:rPr>
        <w:t>tring</w:t>
      </w:r>
      <w:r>
        <w:rPr>
          <w:b/>
        </w:rPr>
        <w:t>:</w:t>
      </w:r>
      <w:r>
        <w:t xml:space="preserve"> </w:t>
      </w:r>
      <w:r w:rsidR="00300D4D">
        <w:t xml:space="preserve">Investigate the factors affecting the frequency of </w:t>
      </w:r>
      <w:r w:rsidR="005B21F3">
        <w:t>a vibrating string or wire.</w:t>
      </w:r>
    </w:p>
    <w:p w14:paraId="286AE2CB" w14:textId="694F9672" w:rsidR="00157C58" w:rsidRDefault="00157C58">
      <w:pPr>
        <w:pStyle w:val="ListBullet"/>
        <w:spacing w:after="80"/>
      </w:pPr>
      <w:r>
        <w:rPr>
          <w:b/>
        </w:rPr>
        <w:t xml:space="preserve">CP08 </w:t>
      </w:r>
      <w:proofErr w:type="gramStart"/>
      <w:r w:rsidR="009C7E80">
        <w:rPr>
          <w:b/>
        </w:rPr>
        <w:t>—</w:t>
      </w:r>
      <w:r>
        <w:t xml:space="preserve">  </w:t>
      </w:r>
      <w:r w:rsidRPr="009C7E80">
        <w:rPr>
          <w:b/>
          <w:bCs/>
        </w:rPr>
        <w:t>Determining</w:t>
      </w:r>
      <w:proofErr w:type="gramEnd"/>
      <w:r w:rsidRPr="009C7E80">
        <w:rPr>
          <w:b/>
          <w:bCs/>
        </w:rPr>
        <w:t xml:space="preserve"> the Wavelength of Light:</w:t>
      </w:r>
      <w:r>
        <w:t xml:space="preserve"> Use a diffraction grating and laser to </w:t>
      </w:r>
      <w:r w:rsidR="009C7E80">
        <w:t>determine the wavelength of light</w:t>
      </w:r>
    </w:p>
    <w:p w14:paraId="1EF0346B" w14:textId="4E553DA0" w:rsidR="002A57D5" w:rsidRDefault="002A57D5" w:rsidP="002A57D5">
      <w:pPr>
        <w:pStyle w:val="ListBullet"/>
        <w:spacing w:after="80"/>
      </w:pPr>
      <w:r>
        <w:rPr>
          <w:b/>
        </w:rPr>
        <w:t>CP0</w:t>
      </w:r>
      <w:r w:rsidR="00980FE9">
        <w:rPr>
          <w:b/>
        </w:rPr>
        <w:t>9</w:t>
      </w:r>
      <w:r>
        <w:rPr>
          <w:b/>
        </w:rPr>
        <w:t xml:space="preserve"> </w:t>
      </w:r>
      <w:proofErr w:type="gramStart"/>
      <w:r>
        <w:rPr>
          <w:b/>
        </w:rPr>
        <w:t>—</w:t>
      </w:r>
      <w:r>
        <w:t xml:space="preserve">  </w:t>
      </w:r>
      <w:r w:rsidR="00980FE9">
        <w:rPr>
          <w:b/>
          <w:bCs/>
        </w:rPr>
        <w:t>Investigating</w:t>
      </w:r>
      <w:proofErr w:type="gramEnd"/>
      <w:r w:rsidR="00980FE9">
        <w:rPr>
          <w:b/>
          <w:bCs/>
        </w:rPr>
        <w:t xml:space="preserve"> change in momentum</w:t>
      </w:r>
      <w:r w:rsidRPr="009C7E80">
        <w:rPr>
          <w:b/>
          <w:bCs/>
        </w:rPr>
        <w:t>:</w:t>
      </w:r>
      <w:r>
        <w:t xml:space="preserve"> </w:t>
      </w:r>
      <w:r w:rsidR="00980FE9">
        <w:t>Determine the momentum change of a trolley when a force acts on it as a function of time</w:t>
      </w:r>
      <w:r w:rsidR="006F1B55">
        <w:t>.</w:t>
      </w:r>
    </w:p>
    <w:p w14:paraId="023F1D58" w14:textId="3705FF45" w:rsidR="00E97A47" w:rsidRDefault="00000000">
      <w:pPr>
        <w:pStyle w:val="ListBullet"/>
        <w:spacing w:after="80"/>
      </w:pPr>
      <w:r>
        <w:rPr>
          <w:b/>
        </w:rPr>
        <w:t xml:space="preserve">CP10 — </w:t>
      </w:r>
      <w:r w:rsidR="006A683C">
        <w:rPr>
          <w:b/>
        </w:rPr>
        <w:t>Use ICT to analyse collisions between small spheres</w:t>
      </w:r>
      <w:r>
        <w:rPr>
          <w:b/>
        </w:rPr>
        <w:t>:</w:t>
      </w:r>
      <w:r>
        <w:t xml:space="preserve"> </w:t>
      </w:r>
      <w:r w:rsidR="0041446D">
        <w:t>Investigating the conservation of momentum in two dimensions</w:t>
      </w:r>
    </w:p>
    <w:p w14:paraId="4A557A62" w14:textId="77777777" w:rsidR="00E97A47" w:rsidRDefault="00000000">
      <w:pPr>
        <w:pStyle w:val="ListBullet"/>
        <w:spacing w:after="80"/>
      </w:pPr>
      <w:r>
        <w:rPr>
          <w:b/>
        </w:rPr>
        <w:t>CP11 — Capacitor Discharge Cycles:</w:t>
      </w:r>
      <w:r>
        <w:t xml:space="preserve"> Mapping current and potential changes across an RC circuit to calculate the time constant of exponential decay.</w:t>
      </w:r>
    </w:p>
    <w:p w14:paraId="4C44D968" w14:textId="77777777" w:rsidR="00E97A47" w:rsidRDefault="00000000">
      <w:pPr>
        <w:pStyle w:val="ListBullet"/>
        <w:spacing w:after="80"/>
      </w:pPr>
      <w:r>
        <w:rPr>
          <w:b/>
        </w:rPr>
        <w:t>CP12 — Calibration of a Thermistor:</w:t>
      </w:r>
      <w:r>
        <w:t xml:space="preserve"> Constructing a temperature-dependent calibration curve for a negative temperature coefficient thermistor probe.</w:t>
      </w:r>
    </w:p>
    <w:p w14:paraId="08554034" w14:textId="0634DA01" w:rsidR="00E97A47" w:rsidRDefault="00000000">
      <w:pPr>
        <w:pStyle w:val="ListBullet"/>
        <w:spacing w:after="80"/>
      </w:pPr>
      <w:r>
        <w:rPr>
          <w:b/>
        </w:rPr>
        <w:t xml:space="preserve">CP13 — </w:t>
      </w:r>
      <w:r w:rsidR="000125C0">
        <w:rPr>
          <w:b/>
        </w:rPr>
        <w:t>Dete</w:t>
      </w:r>
      <w:r w:rsidR="00B96699">
        <w:rPr>
          <w:b/>
        </w:rPr>
        <w:t>rmine the specific latent heat of ice</w:t>
      </w:r>
      <w:r>
        <w:rPr>
          <w:b/>
        </w:rPr>
        <w:t>:</w:t>
      </w:r>
      <w:r>
        <w:t xml:space="preserve"> </w:t>
      </w:r>
      <w:r w:rsidR="00B96699">
        <w:t>Measure</w:t>
      </w:r>
      <w:r w:rsidR="00F5620E">
        <w:t xml:space="preserve"> the temperature decrease of</w:t>
      </w:r>
      <w:r w:rsidR="00982FC7">
        <w:t xml:space="preserve"> water containing melting ice.</w:t>
      </w:r>
    </w:p>
    <w:p w14:paraId="498CC110" w14:textId="0B3B89EC" w:rsidR="00E97A47" w:rsidRDefault="00000000">
      <w:pPr>
        <w:pStyle w:val="ListBullet"/>
        <w:spacing w:after="80"/>
      </w:pPr>
      <w:r>
        <w:rPr>
          <w:b/>
        </w:rPr>
        <w:t>CP14 — Gas Laws (Pressure &amp; Volume):</w:t>
      </w:r>
      <w:r>
        <w:t xml:space="preserve"> </w:t>
      </w:r>
      <w:r w:rsidR="00F838BC">
        <w:t>Investigating the relationship between pressure and</w:t>
      </w:r>
      <w:r>
        <w:t xml:space="preserve"> volume </w:t>
      </w:r>
      <w:r w:rsidR="00F838BC">
        <w:t>of a gas</w:t>
      </w:r>
      <w:r>
        <w:t>.</w:t>
      </w:r>
    </w:p>
    <w:p w14:paraId="37D7692A" w14:textId="746A0987" w:rsidR="00E97A47" w:rsidRDefault="00000000">
      <w:pPr>
        <w:pStyle w:val="ListBullet"/>
        <w:spacing w:after="80"/>
      </w:pPr>
      <w:r>
        <w:rPr>
          <w:b/>
        </w:rPr>
        <w:t>CP15 — Absorption of Gamma Radiation:</w:t>
      </w:r>
      <w:r>
        <w:t xml:space="preserve"> </w:t>
      </w:r>
      <w:r w:rsidR="00B05F51">
        <w:t>Use</w:t>
      </w:r>
      <w:r>
        <w:t xml:space="preserve"> count rates with a Geiger-Muller tube through variable material shielding thickness to verify absorption inverse rules.</w:t>
      </w:r>
    </w:p>
    <w:p w14:paraId="5DEA4EBE" w14:textId="37FE3C18" w:rsidR="00E97A47" w:rsidRDefault="00000000">
      <w:pPr>
        <w:pStyle w:val="ListBullet"/>
        <w:spacing w:after="80"/>
      </w:pPr>
      <w:r>
        <w:rPr>
          <w:b/>
        </w:rPr>
        <w:t>CP16 — Resonance of a Pendulum:</w:t>
      </w:r>
      <w:r>
        <w:t xml:space="preserve"> </w:t>
      </w:r>
      <w:r w:rsidR="00C73947">
        <w:t>Determine the value of an unknown mas</w:t>
      </w:r>
      <w:r w:rsidR="0075469A">
        <w:t>s using resonant frequencies</w:t>
      </w:r>
    </w:p>
    <w:p w14:paraId="00DBAABD" w14:textId="77777777" w:rsidR="00E97A47" w:rsidRDefault="00000000">
      <w:pPr>
        <w:pStyle w:val="Heading1"/>
        <w:spacing w:before="440" w:after="160"/>
      </w:pPr>
      <w:r>
        <w:rPr>
          <w:rFonts w:ascii="Arial" w:hAnsi="Arial"/>
          <w:color w:val="4A148C"/>
          <w:sz w:val="32"/>
        </w:rPr>
        <w:lastRenderedPageBreak/>
        <w:t>Your Summer Transition &amp; Preparation Focus</w:t>
      </w:r>
    </w:p>
    <w:p w14:paraId="0631D4BA" w14:textId="64316B66" w:rsidR="00E97A47" w:rsidRDefault="00000000">
      <w:pPr>
        <w:spacing w:after="240"/>
      </w:pPr>
      <w:r>
        <w:t>To ensure you hit the ground running with confidence in September, you are expected to complete the Summer Transition Material posted on the Northampton School for Girls website. At A-Level, a minimum of 40% of all available exam marks are directly linked to applying higher-level mathematics (Level 2 and above).</w:t>
      </w:r>
    </w:p>
    <w:tbl>
      <w:tblPr>
        <w:tblW w:w="0" w:type="auto"/>
        <w:jc w:val="center"/>
        <w:tblLook w:val="04A0" w:firstRow="1" w:lastRow="0" w:firstColumn="1" w:lastColumn="0" w:noHBand="0" w:noVBand="1"/>
      </w:tblPr>
      <w:tblGrid>
        <w:gridCol w:w="8352"/>
      </w:tblGrid>
      <w:tr w:rsidR="00E97A47" w14:paraId="1E282C88" w14:textId="77777777">
        <w:trPr>
          <w:jc w:val="center"/>
        </w:trPr>
        <w:tc>
          <w:tcPr>
            <w:tcW w:w="8352" w:type="dxa"/>
            <w:tcBorders>
              <w:left w:val="single" w:sz="24" w:space="0" w:color="4A148C"/>
            </w:tcBorders>
            <w:shd w:val="clear" w:color="auto" w:fill="F3E5F5"/>
            <w:tcMar>
              <w:top w:w="140" w:type="dxa"/>
              <w:left w:w="180" w:type="dxa"/>
              <w:bottom w:w="140" w:type="dxa"/>
              <w:right w:w="180" w:type="dxa"/>
            </w:tcMar>
          </w:tcPr>
          <w:p w14:paraId="40BAA2A9" w14:textId="77777777" w:rsidR="00E97A47" w:rsidRDefault="00000000">
            <w:pPr>
              <w:spacing w:after="80"/>
            </w:pPr>
            <w:r>
              <w:rPr>
                <w:b/>
                <w:color w:val="4A148C"/>
                <w:sz w:val="21"/>
              </w:rPr>
              <w:t>CRITICAL MATHEMATICAL SKILLS TO SHARPEN:</w:t>
            </w:r>
          </w:p>
          <w:p w14:paraId="52FF107B" w14:textId="53C62D0D" w:rsidR="00E97A47" w:rsidRDefault="00000000">
            <w:pPr>
              <w:spacing w:after="0"/>
            </w:pPr>
            <w:r>
              <w:rPr>
                <w:sz w:val="20"/>
              </w:rPr>
              <w:t>• Algebraic Manipulation: You must be able to rearrange multi-variable formulas fluidly (e.g., isolation of terms in v² = u² + 2as).</w:t>
            </w:r>
            <w:r>
              <w:rPr>
                <w:sz w:val="20"/>
              </w:rPr>
              <w:br/>
              <w:t xml:space="preserve">• Standard Form &amp; Prefixes: </w:t>
            </w:r>
            <w:r w:rsidR="00450C72">
              <w:rPr>
                <w:sz w:val="20"/>
              </w:rPr>
              <w:t>Ability to</w:t>
            </w:r>
            <w:r>
              <w:rPr>
                <w:sz w:val="20"/>
              </w:rPr>
              <w:t xml:space="preserve"> convert between nanometres, micrometres, millivolts, megawatts, and gigahertz</w:t>
            </w:r>
            <w:r w:rsidR="00B117ED">
              <w:rPr>
                <w:sz w:val="20"/>
              </w:rPr>
              <w:t>.</w:t>
            </w:r>
            <w:r>
              <w:rPr>
                <w:sz w:val="20"/>
              </w:rPr>
              <w:br/>
              <w:t>• Trigonometry &amp; Vector Resolution: Splitting a diagonal force vector into its respective horizontal (F cos θ) and vertical (F sin θ) components.</w:t>
            </w:r>
            <w:r>
              <w:rPr>
                <w:sz w:val="20"/>
              </w:rPr>
              <w:br/>
              <w:t xml:space="preserve">• </w:t>
            </w:r>
            <w:r w:rsidR="00B117ED">
              <w:rPr>
                <w:sz w:val="20"/>
              </w:rPr>
              <w:t>Graph skills</w:t>
            </w:r>
            <w:r>
              <w:rPr>
                <w:sz w:val="20"/>
              </w:rPr>
              <w:t xml:space="preserve">: </w:t>
            </w:r>
            <w:r w:rsidR="00B117ED">
              <w:rPr>
                <w:sz w:val="20"/>
              </w:rPr>
              <w:t xml:space="preserve">Use </w:t>
            </w:r>
            <w:r w:rsidR="001C1811">
              <w:rPr>
                <w:sz w:val="20"/>
              </w:rPr>
              <w:t xml:space="preserve">equation of a straight line (y = mx + c) to determine </w:t>
            </w:r>
            <w:r>
              <w:rPr>
                <w:sz w:val="20"/>
              </w:rPr>
              <w:t>gradient</w:t>
            </w:r>
            <w:r w:rsidR="00BD4F69">
              <w:rPr>
                <w:sz w:val="20"/>
              </w:rPr>
              <w:t xml:space="preserve"> and y-intercept</w:t>
            </w:r>
            <w:r>
              <w:rPr>
                <w:sz w:val="20"/>
              </w:rPr>
              <w:t xml:space="preserve"> and </w:t>
            </w:r>
            <w:r w:rsidR="00BD4F69">
              <w:rPr>
                <w:sz w:val="20"/>
              </w:rPr>
              <w:t>the ability to determine the</w:t>
            </w:r>
            <w:r>
              <w:rPr>
                <w:sz w:val="20"/>
              </w:rPr>
              <w:t xml:space="preserve"> area under curves.</w:t>
            </w:r>
          </w:p>
        </w:tc>
      </w:tr>
    </w:tbl>
    <w:p w14:paraId="06411BD3" w14:textId="77777777" w:rsidR="00E97A47" w:rsidRDefault="00E97A47"/>
    <w:p w14:paraId="0AD52CE5" w14:textId="07DD43BD" w:rsidR="00E97A47" w:rsidRDefault="00000000">
      <w:pPr>
        <w:pStyle w:val="Heading2"/>
        <w:spacing w:before="240" w:after="120"/>
      </w:pPr>
      <w:r>
        <w:rPr>
          <w:rFonts w:ascii="Arial" w:hAnsi="Arial"/>
          <w:color w:val="7B1FA2"/>
        </w:rPr>
        <w:t>Recommended Enrichment &amp; Reading</w:t>
      </w:r>
    </w:p>
    <w:p w14:paraId="2F280C5B" w14:textId="77777777" w:rsidR="00E97A47" w:rsidRDefault="00000000">
      <w:pPr>
        <w:spacing w:after="160"/>
      </w:pPr>
      <w:r>
        <w:t>If you want to look into the mind of a physicist over the summer holidays, we highly recommend checking out these books and digital platforms:</w:t>
      </w:r>
    </w:p>
    <w:p w14:paraId="2E6EDD9F" w14:textId="77777777" w:rsidR="00E97A47" w:rsidRDefault="00000000">
      <w:pPr>
        <w:pStyle w:val="ListBullet"/>
        <w:spacing w:after="80"/>
      </w:pPr>
      <w:r>
        <w:rPr>
          <w:b/>
        </w:rPr>
        <w:t>Book Recommendation:</w:t>
      </w:r>
      <w:r>
        <w:t xml:space="preserve"> 'Surely You're Joking, Mr. Feynman!' by Richard Feynman. A fascinating, funny look into the life of a Nobel Prize-winning particle physicist, his work on the atomic bomb, and his unmatched curiosity.</w:t>
      </w:r>
    </w:p>
    <w:p w14:paraId="6E38D914" w14:textId="77777777" w:rsidR="00E97A47" w:rsidRDefault="00000000">
      <w:pPr>
        <w:pStyle w:val="ListBullet"/>
        <w:spacing w:after="80"/>
      </w:pPr>
      <w:r>
        <w:rPr>
          <w:b/>
        </w:rPr>
        <w:t>Digital Video Learning:</w:t>
      </w:r>
      <w:r>
        <w:t xml:space="preserve"> A-Level Physics Online, Gorilla Physics, and ZPhysics. Excellent YouTube platforms designed to bridge the structural gap from GCSE to A-Level concept theory.</w:t>
      </w:r>
    </w:p>
    <w:p w14:paraId="15ECB693" w14:textId="77777777" w:rsidR="00E97A47" w:rsidRDefault="00000000">
      <w:pPr>
        <w:pStyle w:val="ListBullet"/>
        <w:spacing w:after="80"/>
      </w:pPr>
      <w:r>
        <w:rPr>
          <w:b/>
        </w:rPr>
        <w:t>Problem Solving Platforms:</w:t>
      </w:r>
      <w:r>
        <w:t xml:space="preserve"> Isaac Physics &amp; Physics &amp; Maths Tutor (PMT). These will become your primary revision platforms for practice questions over the next two years.</w:t>
      </w:r>
    </w:p>
    <w:p w14:paraId="3524E4DE" w14:textId="77777777" w:rsidR="00E97A47" w:rsidRDefault="00000000">
      <w:pPr>
        <w:spacing w:before="320"/>
      </w:pPr>
      <w:r>
        <w:rPr>
          <w:i/>
          <w:color w:val="4A148C"/>
        </w:rPr>
        <w:t>Enjoy your summer break, complete your induction preparation, and get ready to view the entire universe through a completely new lens this September at NSG!</w:t>
      </w:r>
    </w:p>
    <w:sectPr w:rsidR="00E97A47"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090009226">
    <w:abstractNumId w:val="8"/>
  </w:num>
  <w:num w:numId="2" w16cid:durableId="1782912949">
    <w:abstractNumId w:val="6"/>
  </w:num>
  <w:num w:numId="3" w16cid:durableId="175464448">
    <w:abstractNumId w:val="5"/>
  </w:num>
  <w:num w:numId="4" w16cid:durableId="328752435">
    <w:abstractNumId w:val="4"/>
  </w:num>
  <w:num w:numId="5" w16cid:durableId="402721684">
    <w:abstractNumId w:val="7"/>
  </w:num>
  <w:num w:numId="6" w16cid:durableId="1936130708">
    <w:abstractNumId w:val="3"/>
  </w:num>
  <w:num w:numId="7" w16cid:durableId="1081030178">
    <w:abstractNumId w:val="2"/>
  </w:num>
  <w:num w:numId="8" w16cid:durableId="1278295145">
    <w:abstractNumId w:val="1"/>
  </w:num>
  <w:num w:numId="9" w16cid:durableId="1358056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25C0"/>
    <w:rsid w:val="00034616"/>
    <w:rsid w:val="00055459"/>
    <w:rsid w:val="0006063C"/>
    <w:rsid w:val="00094FD4"/>
    <w:rsid w:val="000B53E0"/>
    <w:rsid w:val="0012237A"/>
    <w:rsid w:val="0015074B"/>
    <w:rsid w:val="00157C58"/>
    <w:rsid w:val="001C1811"/>
    <w:rsid w:val="00260470"/>
    <w:rsid w:val="0029639D"/>
    <w:rsid w:val="002A57D5"/>
    <w:rsid w:val="002D0FDE"/>
    <w:rsid w:val="002D36FC"/>
    <w:rsid w:val="00300D4D"/>
    <w:rsid w:val="00326F90"/>
    <w:rsid w:val="0041446D"/>
    <w:rsid w:val="00450C72"/>
    <w:rsid w:val="00466C6F"/>
    <w:rsid w:val="004901B5"/>
    <w:rsid w:val="005B21F3"/>
    <w:rsid w:val="005E2E6D"/>
    <w:rsid w:val="00610318"/>
    <w:rsid w:val="006678EA"/>
    <w:rsid w:val="006A683C"/>
    <w:rsid w:val="006C64C1"/>
    <w:rsid w:val="006F1B55"/>
    <w:rsid w:val="00720A46"/>
    <w:rsid w:val="0075469A"/>
    <w:rsid w:val="00757672"/>
    <w:rsid w:val="0078020C"/>
    <w:rsid w:val="008505C0"/>
    <w:rsid w:val="00855CD3"/>
    <w:rsid w:val="008776E1"/>
    <w:rsid w:val="008E2BDA"/>
    <w:rsid w:val="00980FE9"/>
    <w:rsid w:val="00982FC7"/>
    <w:rsid w:val="009C7E80"/>
    <w:rsid w:val="00A43692"/>
    <w:rsid w:val="00A6654F"/>
    <w:rsid w:val="00AA1D8D"/>
    <w:rsid w:val="00AF324B"/>
    <w:rsid w:val="00B05F51"/>
    <w:rsid w:val="00B117ED"/>
    <w:rsid w:val="00B47730"/>
    <w:rsid w:val="00B96699"/>
    <w:rsid w:val="00BD4F69"/>
    <w:rsid w:val="00C07441"/>
    <w:rsid w:val="00C438B8"/>
    <w:rsid w:val="00C73947"/>
    <w:rsid w:val="00CB0664"/>
    <w:rsid w:val="00D14571"/>
    <w:rsid w:val="00D174FB"/>
    <w:rsid w:val="00D25942"/>
    <w:rsid w:val="00D855AF"/>
    <w:rsid w:val="00E34979"/>
    <w:rsid w:val="00E97A47"/>
    <w:rsid w:val="00EF4C4C"/>
    <w:rsid w:val="00F2766F"/>
    <w:rsid w:val="00F5620E"/>
    <w:rsid w:val="00F838BC"/>
    <w:rsid w:val="00FC693F"/>
    <w:rsid w:val="00FD314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73516CE9-8ED4-4901-8DD6-C3DDB47EA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color w:val="2B2B2B"/>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5</Pages>
  <Words>1430</Words>
  <Characters>8156</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9567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 Rockingham</cp:lastModifiedBy>
  <cp:revision>51</cp:revision>
  <dcterms:created xsi:type="dcterms:W3CDTF">2026-06-17T09:22:00Z</dcterms:created>
  <dcterms:modified xsi:type="dcterms:W3CDTF">2026-06-17T10:09:00Z</dcterms:modified>
  <cp:category/>
</cp:coreProperties>
</file>